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Andrei I. Cursaru is the Founder and CEO of NGAI, where he leads the vision for an industry-first 'all-hazards' risk management platform. Recognising the limitations of legacy assessments, he is currently spearheading the development of NGAI's proprietary AI resilience engine, a system designed to translate complex global threat data into dynamic, actionable interdependency maps. Leveraging his extensive background as a Security and Defence Attaché for the European Union and NATO, Andrei drives the company's go-to-market strategy to directly address urgent regulatory pain points, specifically targeting CER and NIS2 compliance for critical entities.</w:t>
      </w:r>
    </w:p>
    <w:p w:rsidR="00000000" w:rsidDel="00000000" w:rsidP="00000000" w:rsidRDefault="00000000" w:rsidRPr="00000000" w14:paraId="00000002">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ensure NGAI’s continued market expansion and commercial growth, Andrei actively secures strategic partnerships that push technological boundaries and deliver forward-looking, cross-sector solutions. Based in Vienna, Austria, his leadership extends into the wider security and technology ecosystem. He serves as the Managing Partner at the PeaceTech Hub, utilising DeepTech to foster societal resilience, sustainability, and conflict resolution. Additionally, he is the Founding President and Chairman of the Board of the Centre for Youth and International Studies (CYIS), a think tank that provides critical research and development insights on emerging global threats.</w:t>
      </w:r>
    </w:p>
    <w:p w:rsidR="00000000" w:rsidDel="00000000" w:rsidP="00000000" w:rsidRDefault="00000000" w:rsidRPr="00000000" w14:paraId="00000003">
      <w:pPr>
        <w:spacing w:after="240" w:line="276"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Prior to founding NGAI, Andrei’s career spanned high-level roles within major intergovernmental bodies. At NATO’s Allied Command Transformation in the United States, he functioned as a Special Advisor to the Supreme Allied Commander Transformation and as a Warfare Development Scenario Analyst. He has also contributed his expertise in civil-military resilience, arms control, and public affairs to the Organisation for the Prohibition of Chemical Weapons, the Comprehensive Test-Ban Treaty Organization, and the European Commission. An alumnus of the University of Warwick with a Master of Arts in International Security and a Bachelor of Arts from Lancaster University, his academic foundation is complemented by fluency in Romanian, English, and German, with proficiencies in French and Russian. Recognised as an influential author in strategic foresight, Andrei remains committed to anticipating strategic shocks and building a more resilient global infrastructure.</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tl w:val="0"/>
        </w:rPr>
      </w:r>
    </w:p>
    <w:sectPr>
      <w:headerReference r:id="rId6" w:type="default"/>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05">
    <w:pPr>
      <w:widowControl w:val="1"/>
      <w:spacing w:line="276" w:lineRule="auto"/>
      <w:rPr/>
    </w:pPr>
    <w:r w:rsidDel="00000000" w:rsidR="00000000" w:rsidRPr="00000000">
      <w:rPr>
        <w:rtl w:val="0"/>
      </w:rPr>
    </w:r>
  </w:p>
  <w:tbl>
    <w:tblPr>
      <w:tblStyle w:val="Table1"/>
      <w:tblW w:w="9000.0" w:type="dxa"/>
      <w:jc w:val="left"/>
      <w:tblLayout w:type="fixed"/>
      <w:tblLook w:val="0600"/>
    </w:tblPr>
    <w:tblGrid>
      <w:gridCol w:w="4290"/>
      <w:gridCol w:w="4710"/>
      <w:tblGridChange w:id="0">
        <w:tblGrid>
          <w:gridCol w:w="4290"/>
          <w:gridCol w:w="4710"/>
        </w:tblGrid>
      </w:tblGridChange>
    </w:tblGrid>
    <w:tr>
      <w:trPr>
        <w:cantSplit w:val="0"/>
        <w:tblHeader w:val="0"/>
      </w:trPr>
      <w:tc>
        <w:tcPr>
          <w:tcBorders>
            <w:bottom w:color="99999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6">
          <w:pPr>
            <w:widowControl w:val="1"/>
            <w:spacing w:line="276" w:lineRule="auto"/>
            <w:rPr/>
          </w:pPr>
          <w:r w:rsidDel="00000000" w:rsidR="00000000" w:rsidRPr="00000000">
            <w:rPr/>
            <w:drawing>
              <wp:inline distB="114300" distT="114300" distL="114300" distR="114300">
                <wp:extent cx="1871663" cy="490792"/>
                <wp:effectExtent b="0" l="0" r="0" t="0"/>
                <wp:docPr id="1" name="image1.png"/>
                <a:graphic>
                  <a:graphicData uri="http://schemas.openxmlformats.org/drawingml/2006/picture">
                    <pic:pic>
                      <pic:nvPicPr>
                        <pic:cNvPr id="0" name="image1.png"/>
                        <pic:cNvPicPr preferRelativeResize="0"/>
                      </pic:nvPicPr>
                      <pic:blipFill>
                        <a:blip r:embed="rId1"/>
                        <a:srcRect b="0" l="0" r="0" t="6579"/>
                        <a:stretch>
                          <a:fillRect/>
                        </a:stretch>
                      </pic:blipFill>
                      <pic:spPr>
                        <a:xfrm>
                          <a:off x="0" y="0"/>
                          <a:ext cx="1871663" cy="490792"/>
                        </a:xfrm>
                        <a:prstGeom prst="rect"/>
                        <a:ln/>
                      </pic:spPr>
                    </pic:pic>
                  </a:graphicData>
                </a:graphic>
              </wp:inline>
            </w:drawing>
          </w:r>
          <w:r w:rsidDel="00000000" w:rsidR="00000000" w:rsidRPr="00000000">
            <w:rPr>
              <w:rtl w:val="0"/>
            </w:rPr>
          </w:r>
        </w:p>
      </w:tc>
      <w:tc>
        <w:tcPr>
          <w:tcBorders>
            <w:bottom w:color="999999" w:space="0" w:sz="8"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007">
          <w:pPr>
            <w:jc w:val="right"/>
            <w:rPr>
              <w:sz w:val="18"/>
              <w:szCs w:val="18"/>
            </w:rPr>
          </w:pPr>
          <w:r w:rsidDel="00000000" w:rsidR="00000000" w:rsidRPr="00000000">
            <w:rPr>
              <w:sz w:val="18"/>
              <w:szCs w:val="18"/>
              <w:rtl w:val="0"/>
            </w:rPr>
            <w:t xml:space="preserve">NGAI FlexCo</w:t>
          </w:r>
        </w:p>
        <w:p w:rsidR="00000000" w:rsidDel="00000000" w:rsidP="00000000" w:rsidRDefault="00000000" w:rsidRPr="00000000" w14:paraId="00000008">
          <w:pPr>
            <w:jc w:val="right"/>
            <w:rPr>
              <w:sz w:val="18"/>
              <w:szCs w:val="18"/>
            </w:rPr>
          </w:pPr>
          <w:r w:rsidDel="00000000" w:rsidR="00000000" w:rsidRPr="00000000">
            <w:rPr>
              <w:sz w:val="18"/>
              <w:szCs w:val="18"/>
              <w:rtl w:val="0"/>
            </w:rPr>
            <w:t xml:space="preserve">Reisnerstraße 28/9, 1030 Vienna, Austria</w:t>
          </w:r>
        </w:p>
        <w:p w:rsidR="00000000" w:rsidDel="00000000" w:rsidP="00000000" w:rsidRDefault="00000000" w:rsidRPr="00000000" w14:paraId="00000009">
          <w:pPr>
            <w:jc w:val="right"/>
            <w:rPr>
              <w:sz w:val="18"/>
              <w:szCs w:val="18"/>
            </w:rPr>
          </w:pPr>
          <w:hyperlink r:id="rId2">
            <w:r w:rsidDel="00000000" w:rsidR="00000000" w:rsidRPr="00000000">
              <w:rPr>
                <w:color w:val="1155cc"/>
                <w:sz w:val="18"/>
                <w:szCs w:val="18"/>
                <w:u w:val="single"/>
                <w:rtl w:val="0"/>
              </w:rPr>
              <w:t xml:space="preserve">info@nexus-group.ai</w:t>
            </w:r>
          </w:hyperlink>
          <w:r w:rsidDel="00000000" w:rsidR="00000000" w:rsidRPr="00000000">
            <w:rPr>
              <w:sz w:val="18"/>
              <w:szCs w:val="18"/>
              <w:rtl w:val="0"/>
            </w:rPr>
            <w:t xml:space="preserve"> - </w:t>
          </w:r>
          <w:hyperlink r:id="rId3">
            <w:r w:rsidDel="00000000" w:rsidR="00000000" w:rsidRPr="00000000">
              <w:rPr>
                <w:color w:val="1155cc"/>
                <w:sz w:val="18"/>
                <w:szCs w:val="18"/>
                <w:u w:val="single"/>
                <w:rtl w:val="0"/>
              </w:rPr>
              <w:t xml:space="preserve">www.nexus-group.ai</w:t>
            </w:r>
          </w:hyperlink>
          <w:r w:rsidDel="00000000" w:rsidR="00000000" w:rsidRPr="00000000">
            <w:rPr>
              <w:rtl w:val="0"/>
            </w:rPr>
          </w:r>
        </w:p>
        <w:p w:rsidR="00000000" w:rsidDel="00000000" w:rsidP="00000000" w:rsidRDefault="00000000" w:rsidRPr="00000000" w14:paraId="0000000A">
          <w:pPr>
            <w:jc w:val="right"/>
            <w:rPr>
              <w:sz w:val="18"/>
              <w:szCs w:val="18"/>
            </w:rPr>
          </w:pPr>
          <w:r w:rsidDel="00000000" w:rsidR="00000000" w:rsidRPr="00000000">
            <w:rPr>
              <w:sz w:val="18"/>
              <w:szCs w:val="18"/>
              <w:rtl w:val="0"/>
            </w:rPr>
            <w:t xml:space="preserve">+43 660 8066561</w:t>
          </w:r>
        </w:p>
      </w:tc>
    </w:tr>
  </w:tbl>
  <w:p w:rsidR="00000000" w:rsidDel="00000000" w:rsidP="00000000" w:rsidRDefault="00000000" w:rsidRPr="00000000" w14:paraId="0000000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bCs w:val="1"/>
      <w:i w:val="0"/>
      <w:iCs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bCs w:val="1"/>
      <w:i w:val="0"/>
      <w:iCs w:val="0"/>
      <w:sz w:val="16"/>
      <w:szCs w:val="16"/>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hyperlink" Target="mailto:info@nexus-group.ai" TargetMode="External"/><Relationship Id="rId3" Type="http://schemas.openxmlformats.org/officeDocument/2006/relationships/hyperlink" Target="http://www.nexus-group.a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